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665" w:tblpY="-1306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52"/>
      </w:tblGrid>
      <w:tr w:rsidR="00872046" w:rsidRPr="00872046" w14:paraId="6A98C767" w14:textId="77777777" w:rsidTr="00872046">
        <w:trPr>
          <w:trHeight w:val="715"/>
        </w:trPr>
        <w:tc>
          <w:tcPr>
            <w:tcW w:w="6252" w:type="dxa"/>
          </w:tcPr>
          <w:p w14:paraId="4AA30237" w14:textId="0CC496F9" w:rsidR="00872046" w:rsidRPr="00872046" w:rsidRDefault="00872046" w:rsidP="00872046">
            <w:pPr>
              <w:autoSpaceDE w:val="0"/>
              <w:autoSpaceDN w:val="0"/>
              <w:adjustRightInd w:val="0"/>
              <w:spacing w:line="240" w:lineRule="auto"/>
              <w:ind w:left="-216" w:right="0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95CAB47" w14:textId="426B87FF" w:rsidR="00EA41B7" w:rsidRPr="00C033D3" w:rsidRDefault="000C3A4F" w:rsidP="00EA41B7">
      <w:pPr>
        <w:spacing w:line="240" w:lineRule="auto"/>
        <w:ind w:right="0"/>
        <w:rPr>
          <w:rFonts w:ascii="Arial" w:eastAsia="Calibri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Calibri" w:hAnsi="Calibri"/>
          <w:color w:val="0070C0"/>
          <w:sz w:val="44"/>
          <w:szCs w:val="44"/>
        </w:rPr>
        <w:t>Fortsatt r</w:t>
      </w:r>
      <w:r w:rsidR="003741C8">
        <w:rPr>
          <w:rFonts w:ascii="Calibri" w:hAnsi="Calibri"/>
          <w:color w:val="0070C0"/>
          <w:sz w:val="44"/>
          <w:szCs w:val="44"/>
        </w:rPr>
        <w:t>estnoter</w:t>
      </w:r>
      <w:r>
        <w:rPr>
          <w:rFonts w:ascii="Calibri" w:hAnsi="Calibri"/>
          <w:color w:val="0070C0"/>
          <w:sz w:val="44"/>
          <w:szCs w:val="44"/>
        </w:rPr>
        <w:t>at</w:t>
      </w:r>
      <w:r w:rsidR="003741C8">
        <w:rPr>
          <w:rFonts w:ascii="Calibri" w:hAnsi="Calibri"/>
          <w:color w:val="0070C0"/>
          <w:sz w:val="44"/>
          <w:szCs w:val="44"/>
        </w:rPr>
        <w:t xml:space="preserve"> läkemedel</w:t>
      </w:r>
      <w:r>
        <w:rPr>
          <w:rFonts w:ascii="Calibri" w:hAnsi="Calibri"/>
          <w:color w:val="0070C0"/>
          <w:sz w:val="44"/>
          <w:szCs w:val="44"/>
        </w:rPr>
        <w:t xml:space="preserve"> - Dolcontin</w:t>
      </w:r>
    </w:p>
    <w:p w14:paraId="03238CD3" w14:textId="77777777" w:rsidR="00FC03EF" w:rsidRDefault="00FC03EF" w:rsidP="00D43DEA">
      <w:pPr>
        <w:rPr>
          <w:rFonts w:ascii="Arial" w:hAnsi="Arial" w:cs="Arial"/>
        </w:rPr>
      </w:pPr>
    </w:p>
    <w:tbl>
      <w:tblPr>
        <w:tblW w:w="0" w:type="auto"/>
        <w:tblInd w:w="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6582"/>
      </w:tblGrid>
      <w:tr w:rsidR="000C3A4F" w:rsidRPr="00954A8D" w14:paraId="085631E4" w14:textId="77777777" w:rsidTr="000C3A4F">
        <w:trPr>
          <w:trHeight w:val="236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6EF4" w14:textId="77777777" w:rsidR="000C3A4F" w:rsidRDefault="000C3A4F" w:rsidP="00FA1FC7">
            <w:pPr>
              <w:pStyle w:val="Normalweb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Läkemedel (substans)</w:t>
            </w: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43C8" w14:textId="0CB217A9" w:rsidR="000C3A4F" w:rsidRPr="00C033D3" w:rsidRDefault="000C3A4F" w:rsidP="00FA1FC7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F63459">
              <w:rPr>
                <w:rFonts w:ascii="Arial" w:hAnsi="Arial" w:cs="Arial"/>
                <w:b/>
                <w:sz w:val="22"/>
                <w:szCs w:val="22"/>
              </w:rPr>
              <w:t xml:space="preserve">Dolcontin </w:t>
            </w:r>
            <w:r>
              <w:rPr>
                <w:rFonts w:ascii="Arial" w:hAnsi="Arial" w:cs="Arial"/>
                <w:sz w:val="22"/>
                <w:szCs w:val="22"/>
              </w:rPr>
              <w:t xml:space="preserve">(långverkande morfin), </w:t>
            </w:r>
            <w:r w:rsidRPr="009E7544">
              <w:rPr>
                <w:rFonts w:ascii="Arial" w:hAnsi="Arial" w:cs="Arial"/>
                <w:color w:val="000000"/>
                <w:sz w:val="22"/>
                <w:szCs w:val="22"/>
              </w:rPr>
              <w:t xml:space="preserve">alla styrkor av depottablett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samt</w:t>
            </w:r>
            <w:r w:rsidRPr="009E7544">
              <w:rPr>
                <w:rFonts w:ascii="Arial" w:hAnsi="Arial" w:cs="Arial"/>
                <w:color w:val="000000"/>
                <w:sz w:val="22"/>
                <w:szCs w:val="22"/>
              </w:rPr>
              <w:t xml:space="preserve"> depotgranulat till oral suspension</w:t>
            </w:r>
          </w:p>
        </w:tc>
      </w:tr>
      <w:tr w:rsidR="000C3A4F" w14:paraId="695759DD" w14:textId="77777777" w:rsidTr="000C3A4F">
        <w:trPr>
          <w:trHeight w:val="426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B052" w14:textId="77777777" w:rsidR="000C3A4F" w:rsidRDefault="000C3A4F" w:rsidP="00FA1FC7">
            <w:pPr>
              <w:pStyle w:val="Normalweb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Orsak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3858" w14:textId="77777777" w:rsidR="000C3A4F" w:rsidRPr="00D411A6" w:rsidRDefault="000C3A4F" w:rsidP="00FA1FC7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9E7544">
              <w:rPr>
                <w:rFonts w:ascii="Arial" w:hAnsi="Arial" w:cs="Arial"/>
                <w:sz w:val="22"/>
                <w:szCs w:val="22"/>
              </w:rPr>
              <w:t>Produktionsproblem, ökad efterfrågan</w:t>
            </w:r>
          </w:p>
        </w:tc>
      </w:tr>
      <w:tr w:rsidR="000C3A4F" w:rsidRPr="003741C8" w14:paraId="1D4FA727" w14:textId="77777777" w:rsidTr="000C3A4F">
        <w:trPr>
          <w:trHeight w:val="678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6194" w14:textId="77777777" w:rsidR="000C3A4F" w:rsidRDefault="000C3A4F" w:rsidP="00FA1FC7">
            <w:pPr>
              <w:pStyle w:val="Normalweb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Förväntat datum tillgänglighet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2FD" w14:textId="501747F2" w:rsidR="000C3A4F" w:rsidRPr="00C033D3" w:rsidRDefault="00AF5E51" w:rsidP="00FA1FC7">
            <w:pPr>
              <w:pStyle w:val="Normalwebb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Mars 2020</w:t>
            </w:r>
          </w:p>
        </w:tc>
      </w:tr>
      <w:tr w:rsidR="00321A60" w:rsidRPr="00C033D3" w14:paraId="5DB566C9" w14:textId="77777777" w:rsidTr="005B5B6B">
        <w:trPr>
          <w:trHeight w:val="678"/>
        </w:trPr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495" w14:textId="77777777" w:rsidR="00321A60" w:rsidRDefault="00321A60" w:rsidP="00FA1FC7">
            <w:pPr>
              <w:pStyle w:val="Normalweb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Övrig information</w:t>
            </w:r>
          </w:p>
        </w:tc>
        <w:tc>
          <w:tcPr>
            <w:tcW w:w="6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909" w14:textId="77777777" w:rsidR="00321A60" w:rsidRDefault="00321A60" w:rsidP="00FA1FC7">
            <w:pPr>
              <w:pStyle w:val="Normalweb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Terapigrupp Smärtas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rekommendation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CFE546E" w14:textId="118E5246" w:rsidR="00321A60" w:rsidRDefault="00321A60" w:rsidP="00FA1FC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  • Ompröva om det fortfarande finns indikation för långverkande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stark 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opioid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BF714FC" w14:textId="70ECBAF2" w:rsidR="00321A60" w:rsidRDefault="00321A60" w:rsidP="00FA1FC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6E3261" w14:textId="4A506CF3" w:rsidR="00321A60" w:rsidRDefault="00321A60" w:rsidP="00FA1FC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Preparat väljes efter vad som är lämpligt för respektive patient.</w:t>
            </w:r>
          </w:p>
          <w:p w14:paraId="5A0A3F52" w14:textId="1A272A01" w:rsidR="00321A60" w:rsidRDefault="00321A60" w:rsidP="00FA1FC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Utvärdera effekt vid byte samt planera för återbyte till Dolcontin när den åter är tillgänglig. </w:t>
            </w:r>
          </w:p>
          <w:p w14:paraId="36928AC2" w14:textId="2EE209AC" w:rsidR="00321A60" w:rsidRDefault="00321A60" w:rsidP="00FA1FC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4C3DD8" w14:textId="77777777" w:rsidR="00321A60" w:rsidRDefault="00321A60" w:rsidP="00EE02B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• </w:t>
            </w:r>
            <w:r w:rsidRPr="00773806">
              <w:rPr>
                <w:rFonts w:ascii="Arial" w:hAnsi="Arial" w:cs="Arial"/>
                <w:i/>
                <w:color w:val="000000"/>
                <w:sz w:val="22"/>
                <w:szCs w:val="22"/>
              </w:rPr>
              <w:t>Oxikodon depottablett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AE091F5" w14:textId="2D008177" w:rsidR="00321A60" w:rsidRDefault="00321A60" w:rsidP="00EE02B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Oxikodon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depottablett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mg motsvarar ungefär Dolcontin 10 mg </w:t>
            </w:r>
          </w:p>
          <w:p w14:paraId="250330D2" w14:textId="77777777" w:rsidR="00321A60" w:rsidRDefault="00321A60" w:rsidP="00EE02B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E0166A" w14:textId="13C886EC" w:rsidR="00500A61" w:rsidRPr="00500A61" w:rsidRDefault="00321A60" w:rsidP="00C15A23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• </w:t>
            </w:r>
            <w:r w:rsidRPr="00773806">
              <w:rPr>
                <w:rFonts w:ascii="Arial" w:hAnsi="Arial" w:cs="Arial"/>
                <w:i/>
                <w:color w:val="000000"/>
                <w:sz w:val="22"/>
                <w:szCs w:val="22"/>
              </w:rPr>
              <w:t>Buprenorfin plåster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2B7A37F" w14:textId="7B9F3015" w:rsidR="00321A60" w:rsidRDefault="00321A60" w:rsidP="00C15A23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Buprenorfin plåster 5 µg/h motsvarar ungefär peroralt morfin </w:t>
            </w:r>
          </w:p>
          <w:p w14:paraId="4A07FC81" w14:textId="5C6551FC" w:rsidR="00321A60" w:rsidRDefault="00321A60" w:rsidP="00C15A23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x2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(10 mg). </w:t>
            </w:r>
          </w:p>
          <w:p w14:paraId="30117207" w14:textId="4AFCDC4A" w:rsidR="00321A60" w:rsidRDefault="00321A60" w:rsidP="00802812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Är främst ett alternativ o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m patienten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har sväljsvårigheter eller sämre upptag, men kan också vara ett alternativ där behov av lägre dos av opioid efterfrågas. </w:t>
            </w:r>
          </w:p>
          <w:p w14:paraId="3607152D" w14:textId="7950E942" w:rsidR="00321A60" w:rsidRDefault="00321A60" w:rsidP="00C15A23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104421" w14:textId="16AED040" w:rsidR="00321A60" w:rsidRDefault="00321A60" w:rsidP="00EE02B7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 xml:space="preserve"> • Kortverkande morfin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6D6D">
              <w:rPr>
                <w:rFonts w:ascii="Arial" w:hAnsi="Arial" w:cs="Arial"/>
                <w:color w:val="000000"/>
                <w:sz w:val="22"/>
                <w:szCs w:val="22"/>
              </w:rPr>
              <w:t xml:space="preserve">(tablett och oral lösning) </w:t>
            </w: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finns utan restproblematik</w:t>
            </w:r>
            <w:r w:rsidR="000E6D6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831E89B" w14:textId="3F4A5FC1" w:rsidR="00321A60" w:rsidRPr="002C0F5E" w:rsidRDefault="00321A60" w:rsidP="000E6D6D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1A60" w:rsidRPr="00C033D3" w14:paraId="1B632516" w14:textId="77777777" w:rsidTr="005B5B6B">
        <w:trPr>
          <w:trHeight w:val="678"/>
        </w:trPr>
        <w:tc>
          <w:tcPr>
            <w:tcW w:w="2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9568" w14:textId="77777777" w:rsidR="00321A60" w:rsidRDefault="00321A60" w:rsidP="00FA1FC7">
            <w:pPr>
              <w:pStyle w:val="Normalweb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15E6" w14:textId="65ED3FB9" w:rsidR="000E6D6D" w:rsidRDefault="00321A60" w:rsidP="000E6D6D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6FCA">
              <w:rPr>
                <w:rFonts w:ascii="Arial" w:hAnsi="Arial" w:cs="Arial"/>
                <w:color w:val="000000"/>
                <w:sz w:val="22"/>
                <w:szCs w:val="22"/>
              </w:rPr>
              <w:t xml:space="preserve">Dolcontin </w:t>
            </w:r>
            <w:r w:rsidR="000E6D6D">
              <w:rPr>
                <w:rFonts w:ascii="Arial" w:hAnsi="Arial" w:cs="Arial"/>
                <w:color w:val="000000"/>
                <w:sz w:val="22"/>
                <w:szCs w:val="22"/>
              </w:rPr>
              <w:t xml:space="preserve">och </w:t>
            </w:r>
            <w:r w:rsidR="000E6D6D" w:rsidRPr="00EC6FCA">
              <w:rPr>
                <w:rFonts w:ascii="Arial" w:hAnsi="Arial" w:cs="Arial"/>
                <w:color w:val="000000"/>
                <w:sz w:val="22"/>
                <w:szCs w:val="22"/>
              </w:rPr>
              <w:t xml:space="preserve">Oxikodon </w:t>
            </w:r>
            <w:r w:rsidRPr="00EC6FCA">
              <w:rPr>
                <w:rFonts w:ascii="Arial" w:hAnsi="Arial" w:cs="Arial"/>
                <w:color w:val="000000"/>
                <w:sz w:val="22"/>
                <w:szCs w:val="22"/>
              </w:rPr>
              <w:t xml:space="preserve">depottablett är inte delbar på grund av depotformulering. </w:t>
            </w:r>
            <w:r w:rsidR="000E6D6D">
              <w:rPr>
                <w:rFonts w:ascii="Arial" w:hAnsi="Arial" w:cs="Arial"/>
                <w:color w:val="000000"/>
                <w:sz w:val="22"/>
                <w:szCs w:val="22"/>
              </w:rPr>
              <w:t xml:space="preserve">Morfin Alternova 10mg (kortverkande) tablett kan delas i lika delar. </w:t>
            </w:r>
          </w:p>
          <w:p w14:paraId="263AB4CA" w14:textId="77777777" w:rsidR="00321A60" w:rsidRDefault="00321A60" w:rsidP="00321A60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6774F" w14:textId="59B29152" w:rsidR="00321A60" w:rsidRDefault="00321A60" w:rsidP="00321A60">
            <w:pPr>
              <w:pStyle w:val="Normalwebb"/>
              <w:tabs>
                <w:tab w:val="left" w:pos="48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311">
              <w:rPr>
                <w:rFonts w:ascii="Arial" w:hAnsi="Arial" w:cs="Arial"/>
                <w:color w:val="000000"/>
                <w:sz w:val="22"/>
                <w:szCs w:val="22"/>
              </w:rPr>
              <w:t>Varje patient ska dostitreras individuellt. Vid byte av opioid måste hänsyn tas även till toleransutveckling och eventuella läkemedelsinteraktioner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För information om ekvipotens och byte mellan opioider, se:</w:t>
            </w:r>
            <w:r w:rsidR="000E6D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FBE878F" w14:textId="058BE7F2" w:rsidR="00321A60" w:rsidRPr="00780311" w:rsidRDefault="00DF5DD3" w:rsidP="00321A60">
            <w:pPr>
              <w:pStyle w:val="Normalweb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8" w:history="1">
              <w:r w:rsidR="00321A60" w:rsidRPr="00D827FB">
                <w:rPr>
                  <w:rStyle w:val="Hyperlnk"/>
                  <w:rFonts w:ascii="Arial" w:hAnsi="Arial" w:cs="Arial"/>
                  <w:sz w:val="22"/>
                  <w:szCs w:val="22"/>
                </w:rPr>
                <w:t>Konverteringsguide för opioider</w:t>
              </w:r>
            </w:hyperlink>
          </w:p>
        </w:tc>
      </w:tr>
    </w:tbl>
    <w:p w14:paraId="0508A1C7" w14:textId="6285EEBC" w:rsidR="00827E17" w:rsidRDefault="00827E17" w:rsidP="00827E17"/>
    <w:p w14:paraId="30E68BC1" w14:textId="35BDB139" w:rsidR="00321A60" w:rsidRDefault="00321A60" w:rsidP="00827E17">
      <w:r>
        <w:t>Olivia Frånberg, Apotekare, Läkemedelsgruppen Utvecklingsavdelningen, Terapigrupp Smärta</w:t>
      </w:r>
    </w:p>
    <w:p w14:paraId="684014A3" w14:textId="03A604AF" w:rsidR="00321A60" w:rsidRDefault="00321A60" w:rsidP="00F63358">
      <w:pPr>
        <w:pStyle w:val="Normalwebb"/>
        <w:rPr>
          <w:rFonts w:ascii="Calibri" w:hAnsi="Calibri"/>
          <w:color w:val="0070C0"/>
          <w:sz w:val="44"/>
          <w:szCs w:val="44"/>
        </w:rPr>
      </w:pPr>
      <w:bookmarkStart w:id="1" w:name="_Hlk24547552"/>
    </w:p>
    <w:p w14:paraId="130E652D" w14:textId="2A4C1A49" w:rsidR="0055399D" w:rsidRDefault="0055399D" w:rsidP="00F63358">
      <w:pPr>
        <w:pStyle w:val="Normalwebb"/>
        <w:rPr>
          <w:rFonts w:ascii="Calibri" w:hAnsi="Calibri"/>
          <w:color w:val="0070C0"/>
          <w:sz w:val="44"/>
          <w:szCs w:val="44"/>
        </w:rPr>
      </w:pPr>
    </w:p>
    <w:p w14:paraId="44991911" w14:textId="40638402" w:rsidR="0055399D" w:rsidRDefault="0055399D" w:rsidP="00F63358">
      <w:pPr>
        <w:pStyle w:val="Normalwebb"/>
        <w:rPr>
          <w:rFonts w:ascii="Calibri" w:hAnsi="Calibri"/>
          <w:color w:val="0070C0"/>
          <w:sz w:val="44"/>
          <w:szCs w:val="44"/>
        </w:rPr>
      </w:pPr>
    </w:p>
    <w:p w14:paraId="44CC0A9B" w14:textId="62BFB9E4" w:rsidR="0055399D" w:rsidRDefault="0055399D" w:rsidP="00F63358">
      <w:pPr>
        <w:pStyle w:val="Normalwebb"/>
        <w:rPr>
          <w:rFonts w:ascii="Calibri" w:hAnsi="Calibri"/>
          <w:color w:val="0070C0"/>
          <w:sz w:val="44"/>
          <w:szCs w:val="44"/>
        </w:rPr>
      </w:pPr>
    </w:p>
    <w:p w14:paraId="704B5B02" w14:textId="15EF4D3F" w:rsidR="0055399D" w:rsidRDefault="0055399D" w:rsidP="00F63358">
      <w:pPr>
        <w:pStyle w:val="Normalwebb"/>
        <w:rPr>
          <w:rFonts w:ascii="Calibri" w:hAnsi="Calibri"/>
          <w:color w:val="0070C0"/>
          <w:sz w:val="44"/>
          <w:szCs w:val="44"/>
        </w:rPr>
      </w:pPr>
    </w:p>
    <w:p w14:paraId="144E3E0B" w14:textId="77777777" w:rsidR="0055399D" w:rsidRPr="00E676EB" w:rsidRDefault="0055399D" w:rsidP="0055399D">
      <w:pPr>
        <w:spacing w:line="240" w:lineRule="auto"/>
        <w:ind w:right="0"/>
        <w:rPr>
          <w:rFonts w:ascii="Arial" w:eastAsia="Calibri" w:hAnsi="Arial" w:cs="Arial"/>
          <w:b/>
          <w:bCs/>
          <w:color w:val="4472C4" w:themeColor="accent1"/>
          <w:sz w:val="24"/>
          <w:szCs w:val="24"/>
          <w:lang w:eastAsia="sv-SE"/>
        </w:rPr>
      </w:pPr>
      <w:bookmarkStart w:id="2" w:name="_Hlk25154766"/>
      <w:r>
        <w:rPr>
          <w:rFonts w:ascii="Calibri" w:hAnsi="Calibri"/>
          <w:color w:val="4472C4" w:themeColor="accent1"/>
          <w:sz w:val="44"/>
          <w:szCs w:val="44"/>
        </w:rPr>
        <w:lastRenderedPageBreak/>
        <w:t xml:space="preserve">Kommande </w:t>
      </w:r>
      <w:r w:rsidRPr="00E676EB">
        <w:rPr>
          <w:rFonts w:ascii="Calibri" w:hAnsi="Calibri"/>
          <w:color w:val="4472C4" w:themeColor="accent1"/>
          <w:sz w:val="44"/>
          <w:szCs w:val="44"/>
        </w:rPr>
        <w:t xml:space="preserve">Restnoterat läkemedel – </w:t>
      </w:r>
      <w:r>
        <w:rPr>
          <w:rFonts w:ascii="Calibri" w:hAnsi="Calibri"/>
          <w:color w:val="4472C4" w:themeColor="accent1"/>
          <w:sz w:val="44"/>
          <w:szCs w:val="44"/>
        </w:rPr>
        <w:t>Dalacin Oral lösning</w:t>
      </w:r>
    </w:p>
    <w:p w14:paraId="18AEF966" w14:textId="77777777" w:rsidR="0055399D" w:rsidRDefault="0055399D" w:rsidP="0055399D">
      <w:pPr>
        <w:pStyle w:val="Normalwebb"/>
        <w:rPr>
          <w:rFonts w:ascii="Calibri" w:hAnsi="Calibri"/>
          <w:color w:val="212121"/>
        </w:rPr>
      </w:pPr>
    </w:p>
    <w:tbl>
      <w:tblPr>
        <w:tblW w:w="9187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493"/>
      </w:tblGrid>
      <w:tr w:rsidR="0055399D" w14:paraId="420D871F" w14:textId="77777777" w:rsidTr="002C68D6">
        <w:trPr>
          <w:trHeight w:val="45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89E3" w14:textId="77777777" w:rsidR="0055399D" w:rsidRPr="003F34F2" w:rsidRDefault="0055399D" w:rsidP="002C68D6">
            <w:pPr>
              <w:pStyle w:val="Normalwebb"/>
              <w:spacing w:line="256" w:lineRule="auto"/>
              <w:rPr>
                <w:sz w:val="20"/>
                <w:szCs w:val="20"/>
                <w:lang w:eastAsia="en-US"/>
              </w:rPr>
            </w:pPr>
            <w:r w:rsidRPr="003F3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Läkemedel (substans)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760B" w14:textId="77777777" w:rsidR="0055399D" w:rsidRPr="003F34F2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34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Dalacin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granulat till oral lösning (klindamycin)</w:t>
            </w:r>
          </w:p>
        </w:tc>
      </w:tr>
      <w:tr w:rsidR="0055399D" w14:paraId="66EEB449" w14:textId="77777777" w:rsidTr="002C68D6">
        <w:trPr>
          <w:trHeight w:val="5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854F" w14:textId="77777777" w:rsidR="0055399D" w:rsidRPr="003F34F2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3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Styrka och förpackning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E166" w14:textId="77777777" w:rsidR="0055399D" w:rsidRPr="00C146CD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46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mg/ml </w:t>
            </w:r>
          </w:p>
        </w:tc>
      </w:tr>
      <w:tr w:rsidR="0055399D" w14:paraId="1AE77AC6" w14:textId="77777777" w:rsidTr="002C68D6">
        <w:trPr>
          <w:trHeight w:val="5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3121" w14:textId="77777777" w:rsidR="0055399D" w:rsidRPr="003F34F2" w:rsidRDefault="0055399D" w:rsidP="002C68D6">
            <w:pPr>
              <w:pStyle w:val="Normalwebb"/>
              <w:spacing w:line="256" w:lineRule="auto"/>
              <w:rPr>
                <w:sz w:val="20"/>
                <w:szCs w:val="20"/>
                <w:lang w:eastAsia="en-US"/>
              </w:rPr>
            </w:pPr>
            <w:bookmarkStart w:id="3" w:name="_Hlk24547628"/>
            <w:r w:rsidRPr="003F3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Förväntat datum tillgänglighet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AC4F" w14:textId="77777777" w:rsidR="0055399D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2020- 05-08</w:t>
            </w:r>
          </w:p>
          <w:p w14:paraId="3E032D23" w14:textId="77777777" w:rsidR="0055399D" w:rsidRPr="003F34F2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(förväntas gå i rest 2019- 11- 27)</w:t>
            </w:r>
          </w:p>
        </w:tc>
      </w:tr>
      <w:bookmarkEnd w:id="3"/>
      <w:tr w:rsidR="0055399D" w14:paraId="031DEC51" w14:textId="77777777" w:rsidTr="002C68D6">
        <w:trPr>
          <w:trHeight w:val="45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65A" w14:textId="77777777" w:rsidR="0055399D" w:rsidRPr="003F34F2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Användningsområde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6BEB" w14:textId="77777777" w:rsidR="0055399D" w:rsidRPr="003F34F2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Penicillin är rekommenderat i första hand. Klindamycin kan vara att alternativ vid penicillinallergi (speciellt vid typ 1 reaktioner). </w:t>
            </w:r>
          </w:p>
        </w:tc>
      </w:tr>
      <w:tr w:rsidR="0055399D" w:rsidRPr="00F6013A" w14:paraId="40DA644C" w14:textId="77777777" w:rsidTr="002C68D6">
        <w:trPr>
          <w:trHeight w:val="94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A004" w14:textId="77777777" w:rsidR="0055399D" w:rsidRPr="00F6013A" w:rsidRDefault="0055399D" w:rsidP="002C68D6">
            <w:pPr>
              <w:pStyle w:val="Normalwebb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6013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Alternativ/konsekvens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DDE5" w14:textId="62654BB6" w:rsidR="0055399D" w:rsidRPr="00F6013A" w:rsidRDefault="0055399D" w:rsidP="00F63459">
            <w:pPr>
              <w:pStyle w:val="Normalwebb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6013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Ery.max oral lösning eller Cefadroxil oral lösning (förvänt</w:t>
            </w:r>
            <w:r w:rsidR="00F634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as tillgänglig i januari 2020).</w:t>
            </w:r>
          </w:p>
        </w:tc>
      </w:tr>
    </w:tbl>
    <w:p w14:paraId="154683BD" w14:textId="68F256D1" w:rsidR="0055399D" w:rsidRDefault="0055399D" w:rsidP="0055399D">
      <w:pPr>
        <w:pStyle w:val="Normalwebb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55399D">
        <w:rPr>
          <w:rFonts w:ascii="Arial" w:eastAsia="Calibri" w:hAnsi="Arial" w:cs="Arial"/>
          <w:bCs/>
          <w:color w:val="000000" w:themeColor="text1"/>
          <w:sz w:val="20"/>
          <w:szCs w:val="20"/>
        </w:rPr>
        <w:t>Karin Andersson, apotekare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, Terapigrupp infektion och Strama, </w:t>
      </w:r>
    </w:p>
    <w:p w14:paraId="6BD4976B" w14:textId="5C687D60" w:rsidR="0055399D" w:rsidRDefault="0055399D" w:rsidP="0055399D">
      <w:pPr>
        <w:pStyle w:val="Normalwebb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Olof Blivik, ordförande Terapigrupp infektion och Strama</w:t>
      </w:r>
    </w:p>
    <w:bookmarkEnd w:id="2"/>
    <w:p w14:paraId="6C7FAFD0" w14:textId="77777777" w:rsidR="0055399D" w:rsidRPr="0055399D" w:rsidRDefault="0055399D" w:rsidP="0055399D">
      <w:pPr>
        <w:pStyle w:val="Normalwebb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4C6B95BD" w14:textId="77777777" w:rsidR="0055399D" w:rsidRPr="00F6013A" w:rsidRDefault="0055399D" w:rsidP="0055399D">
      <w:pPr>
        <w:pStyle w:val="Normalwebb"/>
        <w:rPr>
          <w:rFonts w:ascii="Arial" w:eastAsia="Calibri" w:hAnsi="Arial" w:cs="Arial"/>
          <w:b/>
          <w:bCs/>
          <w:color w:val="000000" w:themeColor="text1"/>
        </w:rPr>
      </w:pPr>
    </w:p>
    <w:p w14:paraId="7922A5ED" w14:textId="31CB2ED5" w:rsidR="00F63358" w:rsidRPr="00C033D3" w:rsidRDefault="00F63358" w:rsidP="00F63358">
      <w:pPr>
        <w:pStyle w:val="Normalwebb"/>
        <w:rPr>
          <w:rFonts w:ascii="Arial" w:eastAsia="Calibri" w:hAnsi="Arial" w:cs="Arial"/>
          <w:b/>
          <w:bCs/>
          <w:color w:val="000000"/>
        </w:rPr>
      </w:pPr>
      <w:r>
        <w:rPr>
          <w:rFonts w:ascii="Calibri" w:hAnsi="Calibri"/>
          <w:color w:val="0070C0"/>
          <w:sz w:val="44"/>
          <w:szCs w:val="44"/>
        </w:rPr>
        <w:t>Tillgänglighet Imovane/Zopiklon</w:t>
      </w:r>
    </w:p>
    <w:bookmarkEnd w:id="1"/>
    <w:p w14:paraId="386EAEBA" w14:textId="77777777" w:rsidR="006C76EE" w:rsidRDefault="006C76EE" w:rsidP="00827E17">
      <w:pPr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10"/>
      </w:tblGrid>
      <w:tr w:rsidR="00F63358" w14:paraId="1618C89B" w14:textId="77777777" w:rsidTr="00F63358">
        <w:trPr>
          <w:trHeight w:val="45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614E" w14:textId="77777777" w:rsidR="00F63358" w:rsidRPr="00F63358" w:rsidRDefault="00F63358" w:rsidP="004A2531">
            <w:pPr>
              <w:pStyle w:val="Normalwebb"/>
              <w:spacing w:line="256" w:lineRule="auto"/>
              <w:rPr>
                <w:sz w:val="22"/>
                <w:szCs w:val="22"/>
                <w:lang w:eastAsia="en-US"/>
              </w:rPr>
            </w:pPr>
            <w:r w:rsidRPr="00F633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Läkemedel (substans)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E479" w14:textId="03B6208D" w:rsidR="00F63358" w:rsidRP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33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Imovane/Zopiklon</w:t>
            </w:r>
          </w:p>
        </w:tc>
      </w:tr>
      <w:tr w:rsidR="00F63358" w14:paraId="296044D3" w14:textId="77777777" w:rsidTr="00F63358">
        <w:trPr>
          <w:trHeight w:val="5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A332" w14:textId="77777777" w:rsidR="00F63358" w:rsidRP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633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Styrka och förpackning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1393" w14:textId="77777777" w:rsidR="00F63358" w:rsidRP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33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5 mg och 7,5 mg </w:t>
            </w:r>
          </w:p>
          <w:p w14:paraId="3F86971F" w14:textId="03D8E933" w:rsidR="00F63358" w:rsidRP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3358">
              <w:rPr>
                <w:rFonts w:ascii="Arial" w:hAnsi="Arial" w:cs="Arial"/>
                <w:sz w:val="22"/>
                <w:szCs w:val="22"/>
                <w:lang w:eastAsia="en-US"/>
              </w:rPr>
              <w:t>All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F633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förpackningsstorlekar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(10, 30 och 100 st)</w:t>
            </w:r>
          </w:p>
        </w:tc>
      </w:tr>
      <w:tr w:rsidR="00F63358" w14:paraId="1C812685" w14:textId="77777777" w:rsidTr="00F63358">
        <w:trPr>
          <w:trHeight w:val="94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4701" w14:textId="77777777" w:rsidR="00F63358" w:rsidRP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633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Alternativ/konsekvens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EF72" w14:textId="3054E789" w:rsid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Imovane/zopiklon finns nu tillgängligt i alla styrkor</w:t>
            </w:r>
            <w:r w:rsidR="005A68B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1391B7" w14:textId="3286A879" w:rsidR="00F63358" w:rsidRDefault="00F63358" w:rsidP="004A2531">
            <w:pPr>
              <w:pStyle w:val="Normalwebb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Endast 7,5 mg 10 st är fortsatt restnoterat.</w:t>
            </w:r>
          </w:p>
          <w:p w14:paraId="72F9F88E" w14:textId="77777777" w:rsidR="005A68BF" w:rsidRDefault="005A68BF" w:rsidP="004A2531">
            <w:pPr>
              <w:pStyle w:val="Normalwebb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888C75" w14:textId="3DC05596" w:rsidR="00F63358" w:rsidRPr="00F63358" w:rsidRDefault="005A68BF" w:rsidP="004A2531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Imovane/Zopiklon är restnoterat hos några av läkemedelsföretagen som tillhandahåller det. Eftersom Imovane/Zopiklon är utbytbart på apotek så bör det inte påverka patientens möjlighet att hämta ut läkemedlet om man inte vid förskrivning har markerat ”får ej bytas”.</w:t>
            </w:r>
          </w:p>
        </w:tc>
      </w:tr>
    </w:tbl>
    <w:p w14:paraId="5D5DCF5C" w14:textId="225AD340" w:rsidR="00C146CD" w:rsidRPr="00F63459" w:rsidRDefault="00321A60" w:rsidP="00F63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Lengstedt, Klinisk farmaceut, Läkemedelsgruppen Utvecklingsa</w:t>
      </w:r>
      <w:bookmarkStart w:id="4" w:name="_Hlk24546202"/>
      <w:r w:rsidR="00F63459">
        <w:rPr>
          <w:rFonts w:ascii="Arial" w:hAnsi="Arial" w:cs="Arial"/>
          <w:sz w:val="20"/>
          <w:szCs w:val="20"/>
        </w:rPr>
        <w:t>vdelningen Terapigrupp Psykiatri</w:t>
      </w:r>
    </w:p>
    <w:p w14:paraId="60BF4CC0" w14:textId="77777777" w:rsidR="00C146CD" w:rsidRDefault="00C146CD" w:rsidP="000307AE">
      <w:pPr>
        <w:pStyle w:val="Normalwebb"/>
        <w:rPr>
          <w:rFonts w:ascii="Calibri" w:hAnsi="Calibri"/>
          <w:color w:val="0070C0"/>
          <w:sz w:val="44"/>
          <w:szCs w:val="44"/>
        </w:rPr>
      </w:pPr>
    </w:p>
    <w:p w14:paraId="07D29D7B" w14:textId="5C7A73F4" w:rsidR="000307AE" w:rsidRPr="00C033D3" w:rsidRDefault="000307AE" w:rsidP="000307AE">
      <w:pPr>
        <w:pStyle w:val="Normalwebb"/>
        <w:rPr>
          <w:rFonts w:ascii="Arial" w:eastAsia="Calibri" w:hAnsi="Arial" w:cs="Arial"/>
          <w:b/>
          <w:bCs/>
          <w:color w:val="000000"/>
        </w:rPr>
      </w:pPr>
      <w:r>
        <w:rPr>
          <w:rFonts w:ascii="Calibri" w:hAnsi="Calibri"/>
          <w:color w:val="0070C0"/>
          <w:sz w:val="44"/>
          <w:szCs w:val="44"/>
        </w:rPr>
        <w:t xml:space="preserve">Åter tillgänglig – Locacorten-Vioform örondroppe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20"/>
      </w:tblGrid>
      <w:tr w:rsidR="000307AE" w:rsidRPr="00C033D3" w14:paraId="39F97D0B" w14:textId="77777777" w:rsidTr="00571D02">
        <w:trPr>
          <w:trHeight w:val="459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4"/>
          <w:p w14:paraId="35F02A12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sv-SE"/>
              </w:rPr>
              <w:t>Läkemedel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B974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 w:rsidRPr="00872046"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>Locacorten Vioform</w:t>
            </w:r>
            <w:r w:rsidRPr="00524DEB">
              <w:rPr>
                <w:rFonts w:ascii="Arial" w:eastAsia="Calibri" w:hAnsi="Arial" w:cs="Arial"/>
                <w:sz w:val="20"/>
                <w:szCs w:val="20"/>
                <w:lang w:eastAsia="sv-SE"/>
              </w:rPr>
              <w:t xml:space="preserve"> örondroppe</w:t>
            </w:r>
          </w:p>
        </w:tc>
      </w:tr>
      <w:tr w:rsidR="000307AE" w:rsidRPr="00C033D3" w14:paraId="2175FB07" w14:textId="77777777" w:rsidTr="00571D02">
        <w:trPr>
          <w:trHeight w:val="29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EA09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 w:rsidRPr="00524DEB">
              <w:rPr>
                <w:rFonts w:ascii="Arial" w:eastAsia="Calibri" w:hAnsi="Arial" w:cs="Arial"/>
                <w:sz w:val="20"/>
                <w:szCs w:val="20"/>
                <w:lang w:eastAsia="sv-SE"/>
              </w:rPr>
              <w:t>Innehåll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2959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 w:rsidRPr="00524DEB">
              <w:rPr>
                <w:rFonts w:ascii="Arial" w:eastAsia="Calibri" w:hAnsi="Arial" w:cs="Arial"/>
                <w:sz w:val="20"/>
                <w:szCs w:val="20"/>
                <w:lang w:eastAsia="sv-SE"/>
              </w:rPr>
              <w:t>Flumetasonpivalat</w:t>
            </w:r>
          </w:p>
          <w:p w14:paraId="4E2FF926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 w:rsidRPr="00524DEB">
              <w:rPr>
                <w:rFonts w:ascii="Arial" w:eastAsia="Calibri" w:hAnsi="Arial" w:cs="Arial"/>
                <w:sz w:val="20"/>
                <w:szCs w:val="20"/>
                <w:lang w:eastAsia="sv-SE"/>
              </w:rPr>
              <w:t>Kliokinol</w:t>
            </w:r>
          </w:p>
        </w:tc>
      </w:tr>
      <w:tr w:rsidR="000307AE" w:rsidRPr="00C033D3" w14:paraId="7A9FA79D" w14:textId="77777777" w:rsidTr="00571D02">
        <w:trPr>
          <w:trHeight w:val="29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F550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 w:rsidRPr="00524DEB">
              <w:rPr>
                <w:rFonts w:ascii="Arial" w:eastAsia="Calibri" w:hAnsi="Arial" w:cs="Arial"/>
                <w:color w:val="000000"/>
                <w:sz w:val="20"/>
                <w:szCs w:val="20"/>
                <w:lang w:eastAsia="sv-SE"/>
              </w:rPr>
              <w:t>Användningsområde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D9A1" w14:textId="77777777" w:rsidR="000307AE" w:rsidRPr="00524DEB" w:rsidRDefault="000307AE" w:rsidP="00571D02">
            <w:pPr>
              <w:spacing w:afterLines="60" w:after="144"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 w:rsidRPr="00524DEB">
              <w:rPr>
                <w:rFonts w:ascii="Arial" w:eastAsia="Calibri" w:hAnsi="Arial" w:cs="Arial"/>
                <w:sz w:val="20"/>
                <w:szCs w:val="20"/>
                <w:lang w:eastAsia="sv-SE"/>
              </w:rPr>
              <w:t>Svamp vid extern otit</w:t>
            </w:r>
          </w:p>
        </w:tc>
      </w:tr>
      <w:tr w:rsidR="000307AE" w:rsidRPr="00C033D3" w14:paraId="1383DCC7" w14:textId="77777777" w:rsidTr="00571D02">
        <w:trPr>
          <w:trHeight w:val="6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1FBB" w14:textId="77777777" w:rsidR="000307AE" w:rsidRPr="00524DEB" w:rsidRDefault="000307AE" w:rsidP="00571D02">
            <w:pPr>
              <w:spacing w:line="240" w:lineRule="auto"/>
              <w:ind w:right="0"/>
              <w:rPr>
                <w:rFonts w:ascii="Arial" w:eastAsia="Calibri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sv-SE"/>
              </w:rPr>
              <w:t>Information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1FC7" w14:textId="77777777" w:rsidR="000307AE" w:rsidRPr="00524DEB" w:rsidRDefault="000307AE" w:rsidP="00571D02">
            <w:pPr>
              <w:spacing w:afterLines="60" w:after="144" w:line="240" w:lineRule="auto"/>
              <w:ind w:right="0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v-SE"/>
              </w:rPr>
              <w:t>Åter tillgänglig efter en långvarig restnotering</w:t>
            </w:r>
          </w:p>
        </w:tc>
      </w:tr>
    </w:tbl>
    <w:p w14:paraId="03C06AEC" w14:textId="1166FD75" w:rsidR="000307AE" w:rsidRDefault="000307AE" w:rsidP="00827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Karin Andersson,</w:t>
      </w:r>
      <w:r w:rsidR="00F63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apotekare , Läkemedelsgruppen Utvecklingsavdelningen</w:t>
      </w:r>
    </w:p>
    <w:p w14:paraId="005D0FD7" w14:textId="0D35640E" w:rsidR="00181EFB" w:rsidRDefault="00181EFB" w:rsidP="00827E17">
      <w:pPr>
        <w:rPr>
          <w:rFonts w:ascii="Arial" w:hAnsi="Arial" w:cs="Arial"/>
          <w:sz w:val="20"/>
          <w:szCs w:val="20"/>
        </w:rPr>
      </w:pPr>
    </w:p>
    <w:p w14:paraId="5C2CD30D" w14:textId="41D95EEF" w:rsidR="00321A60" w:rsidRDefault="00321A60" w:rsidP="00321A60">
      <w:pPr>
        <w:pStyle w:val="Normalwebb"/>
        <w:rPr>
          <w:rFonts w:ascii="Calibri" w:hAnsi="Calibri"/>
          <w:color w:val="212121"/>
        </w:rPr>
      </w:pPr>
      <w:r>
        <w:rPr>
          <w:rFonts w:ascii="Calibri" w:hAnsi="Calibri"/>
          <w:color w:val="0070C0"/>
          <w:sz w:val="44"/>
          <w:szCs w:val="44"/>
        </w:rPr>
        <w:lastRenderedPageBreak/>
        <w:t xml:space="preserve">Avregistrerat läkemedel </w:t>
      </w:r>
      <w:r w:rsidR="00B22F19">
        <w:rPr>
          <w:rFonts w:ascii="Calibri" w:hAnsi="Calibri"/>
          <w:color w:val="0070C0"/>
          <w:sz w:val="44"/>
          <w:szCs w:val="44"/>
        </w:rPr>
        <w:t>– Nexium HP</w:t>
      </w:r>
    </w:p>
    <w:p w14:paraId="3EA98339" w14:textId="77777777" w:rsidR="00321A60" w:rsidRDefault="00321A60" w:rsidP="00321A60">
      <w:pPr>
        <w:pStyle w:val="Normalwebb"/>
        <w:rPr>
          <w:rFonts w:ascii="Arial" w:hAnsi="Arial" w:cs="Arial"/>
          <w:b/>
          <w:bCs/>
          <w:color w:val="000000"/>
        </w:rPr>
      </w:pPr>
    </w:p>
    <w:tbl>
      <w:tblPr>
        <w:tblW w:w="9021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6493"/>
      </w:tblGrid>
      <w:tr w:rsidR="00321A60" w14:paraId="22C277CB" w14:textId="77777777" w:rsidTr="00571D02">
        <w:trPr>
          <w:trHeight w:val="459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F1F5" w14:textId="77777777" w:rsidR="00321A60" w:rsidRPr="00872046" w:rsidRDefault="00321A60" w:rsidP="00571D02">
            <w:pPr>
              <w:pStyle w:val="Normalwebb"/>
              <w:spacing w:line="256" w:lineRule="auto"/>
              <w:rPr>
                <w:sz w:val="20"/>
                <w:szCs w:val="20"/>
                <w:lang w:eastAsia="en-US"/>
              </w:rPr>
            </w:pPr>
            <w:bookmarkStart w:id="5" w:name="_Hlk17448722"/>
            <w:r w:rsidRPr="0087204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Läkemedel (substans)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0C16" w14:textId="77777777" w:rsidR="00321A60" w:rsidRPr="00872046" w:rsidRDefault="00321A60" w:rsidP="00571D02">
            <w:pPr>
              <w:pStyle w:val="Normalwebb"/>
              <w:spacing w:line="256" w:lineRule="auto"/>
              <w:ind w:left="-1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20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Nexium HP</w:t>
            </w:r>
          </w:p>
        </w:tc>
      </w:tr>
      <w:tr w:rsidR="00321A60" w14:paraId="3E053197" w14:textId="77777777" w:rsidTr="00571D02">
        <w:trPr>
          <w:trHeight w:val="417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6B62" w14:textId="77777777" w:rsidR="00321A60" w:rsidRPr="00872046" w:rsidRDefault="00321A60" w:rsidP="00571D02">
            <w:pPr>
              <w:pStyle w:val="Normalwebb"/>
              <w:spacing w:line="256" w:lineRule="auto"/>
              <w:rPr>
                <w:sz w:val="20"/>
                <w:szCs w:val="20"/>
                <w:lang w:eastAsia="en-US"/>
              </w:rPr>
            </w:pPr>
            <w:r w:rsidRPr="0087204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Avregistreras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50C4" w14:textId="77777777" w:rsidR="00321A60" w:rsidRPr="00872046" w:rsidRDefault="00321A60" w:rsidP="00571D02">
            <w:pPr>
              <w:pStyle w:val="Normalwebb"/>
              <w:spacing w:line="256" w:lineRule="auto"/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2046">
              <w:rPr>
                <w:rFonts w:ascii="Arial" w:hAnsi="Arial" w:cs="Arial"/>
                <w:sz w:val="20"/>
                <w:szCs w:val="20"/>
                <w:lang w:eastAsia="en-US"/>
              </w:rPr>
              <w:t>2019-12-31 (men har inte varit tillgänglig sedan en tid tillbaka)</w:t>
            </w:r>
          </w:p>
        </w:tc>
      </w:tr>
      <w:tr w:rsidR="00321A60" w14:paraId="14420340" w14:textId="77777777" w:rsidTr="00571D02">
        <w:trPr>
          <w:trHeight w:val="55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4525" w14:textId="77777777" w:rsidR="00321A60" w:rsidRPr="00872046" w:rsidRDefault="00321A60" w:rsidP="00571D02">
            <w:pPr>
              <w:pStyle w:val="Normalwebb"/>
              <w:spacing w:line="256" w:lineRule="auto"/>
              <w:rPr>
                <w:sz w:val="20"/>
                <w:szCs w:val="20"/>
                <w:lang w:eastAsia="en-US"/>
              </w:rPr>
            </w:pPr>
            <w:r w:rsidRPr="0087204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Ingående läkemedel 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6"/>
            </w:tblGrid>
            <w:tr w:rsidR="00321A60" w:rsidRPr="00872046" w14:paraId="1556DA7A" w14:textId="77777777" w:rsidTr="00571D02">
              <w:trPr>
                <w:trHeight w:val="416"/>
              </w:trPr>
              <w:tc>
                <w:tcPr>
                  <w:tcW w:w="4436" w:type="dxa"/>
                </w:tcPr>
                <w:p w14:paraId="51058DBB" w14:textId="77777777" w:rsidR="00321A60" w:rsidRPr="00872046" w:rsidRDefault="00321A60" w:rsidP="00571D02">
                  <w:pPr>
                    <w:autoSpaceDE w:val="0"/>
                    <w:autoSpaceDN w:val="0"/>
                    <w:adjustRightInd w:val="0"/>
                    <w:spacing w:line="240" w:lineRule="auto"/>
                    <w:ind w:left="-108" w:righ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20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Nexium 20 mg (esomeprazol) 14 tabletter </w:t>
                  </w:r>
                </w:p>
                <w:p w14:paraId="5D1B3159" w14:textId="77777777" w:rsidR="00321A60" w:rsidRPr="00872046" w:rsidRDefault="00321A60" w:rsidP="00571D02">
                  <w:pPr>
                    <w:autoSpaceDE w:val="0"/>
                    <w:autoSpaceDN w:val="0"/>
                    <w:adjustRightInd w:val="0"/>
                    <w:spacing w:line="240" w:lineRule="auto"/>
                    <w:ind w:left="-108" w:righ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20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Klacid 500 mg (klaritromycin) 14 tabletter </w:t>
                  </w:r>
                </w:p>
                <w:p w14:paraId="77410B2E" w14:textId="77777777" w:rsidR="00321A60" w:rsidRPr="00872046" w:rsidRDefault="00321A60" w:rsidP="00571D02">
                  <w:pPr>
                    <w:autoSpaceDE w:val="0"/>
                    <w:autoSpaceDN w:val="0"/>
                    <w:adjustRightInd w:val="0"/>
                    <w:spacing w:line="240" w:lineRule="auto"/>
                    <w:ind w:left="-108" w:righ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20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Amimox 500 mg (amoxicillin) 28 tabletter </w:t>
                  </w:r>
                </w:p>
              </w:tc>
            </w:tr>
          </w:tbl>
          <w:p w14:paraId="40082A0D" w14:textId="77777777" w:rsidR="00321A60" w:rsidRPr="00872046" w:rsidRDefault="00321A60" w:rsidP="00571D02">
            <w:pPr>
              <w:pStyle w:val="Normalwebb"/>
              <w:spacing w:line="256" w:lineRule="auto"/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1A60" w14:paraId="62C3B971" w14:textId="77777777" w:rsidTr="00571D02">
        <w:trPr>
          <w:trHeight w:val="30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6F83" w14:textId="77777777" w:rsidR="00321A60" w:rsidRPr="00872046" w:rsidRDefault="00321A60" w:rsidP="00571D02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7204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Användningsområde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D673" w14:textId="77777777" w:rsidR="00321A60" w:rsidRPr="00872046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046">
              <w:rPr>
                <w:rFonts w:ascii="Arial" w:hAnsi="Arial" w:cs="Arial"/>
                <w:color w:val="000000"/>
                <w:sz w:val="20"/>
                <w:szCs w:val="20"/>
              </w:rPr>
              <w:t xml:space="preserve">Nexium HP är rekommenderat vid </w:t>
            </w:r>
            <w:r w:rsidRPr="008720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eradikering av Helicobacter pylori</w:t>
            </w:r>
            <w:r w:rsidRPr="008720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584B5CC" w14:textId="77777777" w:rsidR="00321A60" w:rsidRPr="00872046" w:rsidRDefault="00321A60" w:rsidP="00571D02">
            <w:pPr>
              <w:pStyle w:val="Normalwebb"/>
              <w:spacing w:line="256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046">
              <w:rPr>
                <w:rFonts w:ascii="Arial" w:hAnsi="Arial" w:cs="Arial"/>
                <w:color w:val="000000"/>
                <w:sz w:val="20"/>
                <w:szCs w:val="20"/>
              </w:rPr>
              <w:t>Dosering:</w:t>
            </w:r>
          </w:p>
          <w:p w14:paraId="6F3F198A" w14:textId="77777777" w:rsidR="00321A60" w:rsidRPr="00872046" w:rsidRDefault="00321A60" w:rsidP="00571D02">
            <w:pPr>
              <w:pStyle w:val="Normalwebb"/>
              <w:spacing w:line="256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72046">
              <w:rPr>
                <w:rFonts w:ascii="Arial" w:hAnsi="Arial" w:cs="Arial"/>
                <w:color w:val="000000"/>
                <w:sz w:val="20"/>
                <w:szCs w:val="20"/>
              </w:rPr>
              <w:t>1 tablett Nexium, 1 tablett Klacid och 2 tabletter Amimox, tas samtidigt 2 gånger dagligen i en vecka</w:t>
            </w:r>
          </w:p>
        </w:tc>
      </w:tr>
      <w:tr w:rsidR="00321A60" w14:paraId="5745F5D6" w14:textId="77777777" w:rsidTr="00571D02">
        <w:trPr>
          <w:trHeight w:val="30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1D10" w14:textId="77777777" w:rsidR="00321A60" w:rsidRPr="00872046" w:rsidRDefault="00321A60" w:rsidP="00571D02">
            <w:pPr>
              <w:pStyle w:val="Normalwebb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Alternativ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AFB3" w14:textId="77777777" w:rsidR="00321A60" w:rsidRPr="000F04BB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4BB">
              <w:rPr>
                <w:rFonts w:ascii="Arial" w:hAnsi="Arial" w:cs="Arial"/>
                <w:color w:val="000000"/>
                <w:sz w:val="20"/>
                <w:szCs w:val="20"/>
              </w:rPr>
              <w:t>I NCS Cross finns ett favoritpaket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innehållandes de 3 läkemedlen </w:t>
            </w:r>
            <w:r w:rsidRPr="000F04BB">
              <w:rPr>
                <w:rFonts w:ascii="Arial" w:hAnsi="Arial" w:cs="Arial"/>
                <w:color w:val="000000"/>
                <w:sz w:val="20"/>
                <w:szCs w:val="20"/>
              </w:rPr>
              <w:t>både för receptförskrivning och ordination:</w:t>
            </w:r>
          </w:p>
          <w:p w14:paraId="776A4B67" w14:textId="77777777" w:rsidR="00321A60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DBA57B" w14:textId="77777777" w:rsidR="00321A60" w:rsidRPr="000F04BB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4BB">
              <w:rPr>
                <w:rFonts w:ascii="Arial" w:hAnsi="Arial" w:cs="Arial"/>
                <w:color w:val="000000"/>
                <w:sz w:val="20"/>
                <w:szCs w:val="20"/>
              </w:rPr>
              <w:t xml:space="preserve">esomeprazol 20 mg 1x2 i 7 dagar </w:t>
            </w:r>
          </w:p>
          <w:p w14:paraId="5C682B49" w14:textId="77777777" w:rsidR="00321A60" w:rsidRPr="000F04BB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4BB">
              <w:rPr>
                <w:rFonts w:ascii="Arial" w:hAnsi="Arial" w:cs="Arial"/>
                <w:color w:val="000000"/>
                <w:sz w:val="20"/>
                <w:szCs w:val="20"/>
              </w:rPr>
              <w:t xml:space="preserve">klaritromycin 500 mg 1x2 i 7 dagar </w:t>
            </w:r>
          </w:p>
          <w:p w14:paraId="235173ED" w14:textId="77777777" w:rsidR="00321A60" w:rsidRPr="000F04BB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4BB">
              <w:rPr>
                <w:rFonts w:ascii="Arial" w:hAnsi="Arial" w:cs="Arial"/>
                <w:color w:val="000000"/>
                <w:sz w:val="20"/>
                <w:szCs w:val="20"/>
              </w:rPr>
              <w:t xml:space="preserve">amoxicillin 500 mg 2x2 i 7 dagar </w:t>
            </w:r>
          </w:p>
          <w:p w14:paraId="06D90DDD" w14:textId="77777777" w:rsidR="00321A60" w:rsidRPr="000F04BB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F584B1" w14:textId="77777777" w:rsidR="00321A60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4BB">
              <w:rPr>
                <w:rFonts w:ascii="Arial" w:hAnsi="Arial" w:cs="Arial"/>
                <w:color w:val="000000"/>
                <w:sz w:val="20"/>
                <w:szCs w:val="20"/>
              </w:rPr>
              <w:t>Sök efter Favoritpaketet: Nexium HP-paket</w:t>
            </w:r>
          </w:p>
          <w:p w14:paraId="18F056FD" w14:textId="77777777" w:rsidR="00321A60" w:rsidRPr="00872046" w:rsidRDefault="00321A60" w:rsidP="00571D02">
            <w:pPr>
              <w:autoSpaceDE w:val="0"/>
              <w:autoSpaceDN w:val="0"/>
              <w:adjustRightInd w:val="0"/>
              <w:spacing w:line="240" w:lineRule="auto"/>
              <w:ind w:left="-108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 inte favorit används säkerhetsställ att förpackningen ingår i förmånen och har lämplig förpackningsstorlek.</w:t>
            </w:r>
          </w:p>
        </w:tc>
      </w:tr>
    </w:tbl>
    <w:bookmarkEnd w:id="5"/>
    <w:p w14:paraId="31F4E8FC" w14:textId="53670F9E" w:rsidR="00321A60" w:rsidRDefault="000307AE" w:rsidP="00321A60">
      <w:r>
        <w:t>Karin Andersson, apotekare, Läkemedelsgruppen Utvecklingsavdelningen</w:t>
      </w:r>
    </w:p>
    <w:p w14:paraId="1B9AE803" w14:textId="77777777" w:rsidR="00321A60" w:rsidRDefault="00321A60" w:rsidP="00321A60">
      <w:pPr>
        <w:rPr>
          <w:rFonts w:ascii="Arial" w:hAnsi="Arial" w:cs="Arial"/>
        </w:rPr>
      </w:pPr>
    </w:p>
    <w:p w14:paraId="01FCEDDC" w14:textId="28816E1D" w:rsidR="00181EFB" w:rsidRDefault="00181EFB" w:rsidP="00704D0C">
      <w:pPr>
        <w:pStyle w:val="Normalwebb"/>
        <w:rPr>
          <w:rFonts w:ascii="Arial" w:eastAsia="Calibri" w:hAnsi="Arial" w:cs="Arial"/>
          <w:b/>
          <w:bCs/>
          <w:color w:val="000000"/>
        </w:rPr>
      </w:pPr>
    </w:p>
    <w:sectPr w:rsidR="00181EFB" w:rsidSect="009F4CC2">
      <w:headerReference w:type="default" r:id="rId9"/>
      <w:pgSz w:w="11906" w:h="16838"/>
      <w:pgMar w:top="1560" w:right="1133" w:bottom="1417" w:left="1417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39D2" w14:textId="77777777" w:rsidR="00DB53DC" w:rsidRDefault="00DB53DC" w:rsidP="00BC5ACD">
      <w:r>
        <w:separator/>
      </w:r>
    </w:p>
  </w:endnote>
  <w:endnote w:type="continuationSeparator" w:id="0">
    <w:p w14:paraId="0F913BED" w14:textId="77777777" w:rsidR="00DB53DC" w:rsidRDefault="00DB53DC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BC9B" w14:textId="77777777" w:rsidR="00DB53DC" w:rsidRDefault="00DB53DC" w:rsidP="00BC5ACD">
      <w:r>
        <w:separator/>
      </w:r>
    </w:p>
  </w:footnote>
  <w:footnote w:type="continuationSeparator" w:id="0">
    <w:p w14:paraId="097587DC" w14:textId="77777777" w:rsidR="00DB53DC" w:rsidRDefault="00DB53DC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8047" w14:textId="77777777" w:rsidR="004E2A65" w:rsidRDefault="004E2A65" w:rsidP="00BC5AC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807D966" wp14:editId="002BDA3A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BB0"/>
    <w:multiLevelType w:val="hybridMultilevel"/>
    <w:tmpl w:val="C770C3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0D4B"/>
    <w:multiLevelType w:val="hybridMultilevel"/>
    <w:tmpl w:val="21AE5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76AC6"/>
    <w:multiLevelType w:val="hybridMultilevel"/>
    <w:tmpl w:val="81EE12AC"/>
    <w:lvl w:ilvl="0" w:tplc="9F8C3B9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042CE"/>
    <w:multiLevelType w:val="hybridMultilevel"/>
    <w:tmpl w:val="CB309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2F41"/>
    <w:multiLevelType w:val="hybridMultilevel"/>
    <w:tmpl w:val="AAC4A2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30FA0"/>
    <w:multiLevelType w:val="hybridMultilevel"/>
    <w:tmpl w:val="40A8BE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006A7"/>
    <w:multiLevelType w:val="hybridMultilevel"/>
    <w:tmpl w:val="4184F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91B1E"/>
    <w:multiLevelType w:val="hybridMultilevel"/>
    <w:tmpl w:val="C9DA2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4"/>
    <w:rsid w:val="000216D9"/>
    <w:rsid w:val="000253B3"/>
    <w:rsid w:val="00025402"/>
    <w:rsid w:val="000307AE"/>
    <w:rsid w:val="00055F48"/>
    <w:rsid w:val="00093506"/>
    <w:rsid w:val="00097A9C"/>
    <w:rsid w:val="000B4F81"/>
    <w:rsid w:val="000C3A4F"/>
    <w:rsid w:val="000C56FE"/>
    <w:rsid w:val="000E16D0"/>
    <w:rsid w:val="000E6D6D"/>
    <w:rsid w:val="000F04BB"/>
    <w:rsid w:val="00115950"/>
    <w:rsid w:val="00140630"/>
    <w:rsid w:val="00142C13"/>
    <w:rsid w:val="00153234"/>
    <w:rsid w:val="00181DAA"/>
    <w:rsid w:val="00181EFB"/>
    <w:rsid w:val="001D464F"/>
    <w:rsid w:val="001E1579"/>
    <w:rsid w:val="001E2AA3"/>
    <w:rsid w:val="001E4CD6"/>
    <w:rsid w:val="0022474E"/>
    <w:rsid w:val="00225073"/>
    <w:rsid w:val="00227E03"/>
    <w:rsid w:val="00253C1F"/>
    <w:rsid w:val="00262789"/>
    <w:rsid w:val="0027384B"/>
    <w:rsid w:val="002C0F5E"/>
    <w:rsid w:val="002C1A72"/>
    <w:rsid w:val="002E2E60"/>
    <w:rsid w:val="00302E40"/>
    <w:rsid w:val="00310AA1"/>
    <w:rsid w:val="00321A60"/>
    <w:rsid w:val="00341730"/>
    <w:rsid w:val="00366FFC"/>
    <w:rsid w:val="003741C8"/>
    <w:rsid w:val="00380B34"/>
    <w:rsid w:val="00391BF7"/>
    <w:rsid w:val="003B2478"/>
    <w:rsid w:val="003B772D"/>
    <w:rsid w:val="003C5699"/>
    <w:rsid w:val="003C7411"/>
    <w:rsid w:val="003F34F2"/>
    <w:rsid w:val="004102FE"/>
    <w:rsid w:val="004111AE"/>
    <w:rsid w:val="00424586"/>
    <w:rsid w:val="00472AB2"/>
    <w:rsid w:val="0048608E"/>
    <w:rsid w:val="004B48DC"/>
    <w:rsid w:val="004B6FD9"/>
    <w:rsid w:val="004E2A65"/>
    <w:rsid w:val="004E4CB0"/>
    <w:rsid w:val="00500A61"/>
    <w:rsid w:val="00524DEB"/>
    <w:rsid w:val="00545C61"/>
    <w:rsid w:val="00546965"/>
    <w:rsid w:val="0055399D"/>
    <w:rsid w:val="00567FA9"/>
    <w:rsid w:val="00570BEB"/>
    <w:rsid w:val="00585F9F"/>
    <w:rsid w:val="005A68BF"/>
    <w:rsid w:val="005B69A2"/>
    <w:rsid w:val="005D0C9C"/>
    <w:rsid w:val="005D2BD2"/>
    <w:rsid w:val="005E231E"/>
    <w:rsid w:val="005E2D2F"/>
    <w:rsid w:val="005E76F7"/>
    <w:rsid w:val="005F0089"/>
    <w:rsid w:val="006137A6"/>
    <w:rsid w:val="0065775C"/>
    <w:rsid w:val="006C76EE"/>
    <w:rsid w:val="006D3C65"/>
    <w:rsid w:val="006F2B7B"/>
    <w:rsid w:val="00704D0C"/>
    <w:rsid w:val="00714430"/>
    <w:rsid w:val="00716ECE"/>
    <w:rsid w:val="0072608B"/>
    <w:rsid w:val="007275AB"/>
    <w:rsid w:val="00747067"/>
    <w:rsid w:val="00761042"/>
    <w:rsid w:val="0077111C"/>
    <w:rsid w:val="00773806"/>
    <w:rsid w:val="00795BEB"/>
    <w:rsid w:val="007A427F"/>
    <w:rsid w:val="007E7014"/>
    <w:rsid w:val="00802812"/>
    <w:rsid w:val="00827E17"/>
    <w:rsid w:val="008306FE"/>
    <w:rsid w:val="00844313"/>
    <w:rsid w:val="0085308A"/>
    <w:rsid w:val="00872046"/>
    <w:rsid w:val="008739E2"/>
    <w:rsid w:val="008751B5"/>
    <w:rsid w:val="0089668B"/>
    <w:rsid w:val="008B6131"/>
    <w:rsid w:val="008B6A02"/>
    <w:rsid w:val="008C1055"/>
    <w:rsid w:val="008C68A7"/>
    <w:rsid w:val="008D16D5"/>
    <w:rsid w:val="00905264"/>
    <w:rsid w:val="00905C90"/>
    <w:rsid w:val="009346DB"/>
    <w:rsid w:val="009363EC"/>
    <w:rsid w:val="009529A4"/>
    <w:rsid w:val="00957929"/>
    <w:rsid w:val="009874ED"/>
    <w:rsid w:val="009C43BA"/>
    <w:rsid w:val="009D2880"/>
    <w:rsid w:val="009D3D17"/>
    <w:rsid w:val="009D4B8B"/>
    <w:rsid w:val="009F4CC2"/>
    <w:rsid w:val="00A7023A"/>
    <w:rsid w:val="00A7265F"/>
    <w:rsid w:val="00AB06AC"/>
    <w:rsid w:val="00AC013E"/>
    <w:rsid w:val="00AF5E51"/>
    <w:rsid w:val="00B05F7C"/>
    <w:rsid w:val="00B22F19"/>
    <w:rsid w:val="00B41CC7"/>
    <w:rsid w:val="00B553CD"/>
    <w:rsid w:val="00B55505"/>
    <w:rsid w:val="00B67600"/>
    <w:rsid w:val="00B94E1D"/>
    <w:rsid w:val="00BA7CFB"/>
    <w:rsid w:val="00BB23D0"/>
    <w:rsid w:val="00BC5ACD"/>
    <w:rsid w:val="00BD69E9"/>
    <w:rsid w:val="00C033D3"/>
    <w:rsid w:val="00C146CD"/>
    <w:rsid w:val="00C15A23"/>
    <w:rsid w:val="00C2353A"/>
    <w:rsid w:val="00C61214"/>
    <w:rsid w:val="00C8389C"/>
    <w:rsid w:val="00CB4A61"/>
    <w:rsid w:val="00CC51FB"/>
    <w:rsid w:val="00CE7470"/>
    <w:rsid w:val="00D308B3"/>
    <w:rsid w:val="00D43DEA"/>
    <w:rsid w:val="00D517A7"/>
    <w:rsid w:val="00D6330B"/>
    <w:rsid w:val="00D63A85"/>
    <w:rsid w:val="00DA0215"/>
    <w:rsid w:val="00DA6DBC"/>
    <w:rsid w:val="00DA72A4"/>
    <w:rsid w:val="00DB4941"/>
    <w:rsid w:val="00DB53DC"/>
    <w:rsid w:val="00DB66F6"/>
    <w:rsid w:val="00DC078D"/>
    <w:rsid w:val="00DC0D69"/>
    <w:rsid w:val="00DD06B7"/>
    <w:rsid w:val="00DD2E4C"/>
    <w:rsid w:val="00DF02FA"/>
    <w:rsid w:val="00DF5DD3"/>
    <w:rsid w:val="00E02524"/>
    <w:rsid w:val="00E059B9"/>
    <w:rsid w:val="00E17F01"/>
    <w:rsid w:val="00E2328D"/>
    <w:rsid w:val="00E55FE5"/>
    <w:rsid w:val="00E664B3"/>
    <w:rsid w:val="00E676EB"/>
    <w:rsid w:val="00E930E5"/>
    <w:rsid w:val="00E94034"/>
    <w:rsid w:val="00EA41B7"/>
    <w:rsid w:val="00ED06B3"/>
    <w:rsid w:val="00ED7CD0"/>
    <w:rsid w:val="00EE02B7"/>
    <w:rsid w:val="00EF6DB7"/>
    <w:rsid w:val="00F1349F"/>
    <w:rsid w:val="00F50854"/>
    <w:rsid w:val="00F6013A"/>
    <w:rsid w:val="00F63358"/>
    <w:rsid w:val="00F63459"/>
    <w:rsid w:val="00F65550"/>
    <w:rsid w:val="00F87AF4"/>
    <w:rsid w:val="00FA50E5"/>
    <w:rsid w:val="00FC03EF"/>
    <w:rsid w:val="00FC6754"/>
    <w:rsid w:val="00FD28D4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4D73F9"/>
  <w15:docId w15:val="{8BA08740-B667-493D-AF8C-263CCCF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358"/>
    <w:pPr>
      <w:spacing w:after="0" w:line="300" w:lineRule="atLeast"/>
      <w:ind w:right="1236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02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A02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A02"/>
    <w:pPr>
      <w:keepNext/>
      <w:keepLines/>
      <w:spacing w:before="227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nhideWhenUsed/>
    <w:rsid w:val="00DA0215"/>
    <w:rPr>
      <w:color w:val="0563C1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B6A02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6A0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B6A0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/>
      <w:ind w:left="40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0216D9"/>
    <w:pPr>
      <w:spacing w:line="240" w:lineRule="auto"/>
      <w:ind w:right="0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69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69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69A2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69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69A2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9A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3B2478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44313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9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BA7CFB"/>
    <w:rPr>
      <w:i/>
      <w:iCs/>
    </w:rPr>
  </w:style>
  <w:style w:type="character" w:customStyle="1" w:styleId="word-explaination">
    <w:name w:val="word-explaination"/>
    <w:basedOn w:val="Standardstycketeckensnitt"/>
    <w:rsid w:val="00BA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rjl.se/info_files/infosida39805/Konverteringsguide_opioider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8064-F181-4E8C-BA75-897DE9CC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Asplund, Anna</dc:creator>
  <cp:lastModifiedBy>Håkansson, Elisabeth</cp:lastModifiedBy>
  <cp:revision>2</cp:revision>
  <cp:lastPrinted>2019-11-18T13:32:00Z</cp:lastPrinted>
  <dcterms:created xsi:type="dcterms:W3CDTF">2019-11-22T10:19:00Z</dcterms:created>
  <dcterms:modified xsi:type="dcterms:W3CDTF">2019-11-22T10:19:00Z</dcterms:modified>
</cp:coreProperties>
</file>